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eastAsia="宋体"/>
          <w:sz w:val="24"/>
          <w:szCs w:val="24"/>
          <w:u w:val="single"/>
          <w:lang w:eastAsia="zh-CN"/>
        </w:rPr>
      </w:pPr>
      <w:bookmarkStart w:id="0" w:name="_GoBack"/>
      <w:bookmarkEnd w:id="0"/>
    </w:p>
    <w:p>
      <w:pPr>
        <w:pStyle w:val="4"/>
        <w:jc w:val="left"/>
      </w:pPr>
      <w:r>
        <w:rPr>
          <w:lang w:val="en-US"/>
        </w:rPr>
        <w:drawing>
          <wp:inline distT="0" distB="0" distL="0" distR="0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</w:p>
    <w:p>
      <w:pPr>
        <w:pStyle w:val="4"/>
        <w:spacing w:line="216" w:lineRule="auto"/>
        <w:jc w:val="left"/>
      </w:pPr>
      <w:r>
        <w:t>Monthly Return of Equity Issuer on Movements in Securities</w:t>
      </w:r>
    </w:p>
    <w:p>
      <w:pPr>
        <w:spacing w:line="216" w:lineRule="auto"/>
        <w:rPr>
          <w:i/>
          <w:iCs/>
          <w:lang w:val="en-GB"/>
        </w:rPr>
      </w:pP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8"/>
        <w:gridCol w:w="5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3978" w:type="dxa"/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For the month ended (dd/mm/yyyy) : </w:t>
            </w:r>
          </w:p>
        </w:tc>
        <w:tc>
          <w:tcPr>
            <w:tcW w:w="5130" w:type="dxa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rFonts w:eastAsia="宋体"/>
                <w:b/>
                <w:sz w:val="22"/>
                <w:lang w:val="en-GB" w:eastAsia="zh-CN"/>
              </w:rPr>
            </w:pPr>
            <w:r>
              <w:rPr>
                <w:rFonts w:eastAsia="宋体"/>
                <w:b/>
                <w:sz w:val="22"/>
                <w:lang w:val="en-GB" w:eastAsia="zh-CN"/>
              </w:rPr>
              <w:t>3</w:t>
            </w:r>
            <w:r>
              <w:rPr>
                <w:rFonts w:hint="eastAsia"/>
                <w:b/>
                <w:sz w:val="22"/>
                <w:lang w:val="en-GB"/>
              </w:rPr>
              <w:t>1</w:t>
            </w:r>
            <w:r>
              <w:rPr>
                <w:b/>
                <w:sz w:val="22"/>
                <w:lang w:val="en-GB" w:eastAsia="zh-HK"/>
              </w:rPr>
              <w:t>/</w:t>
            </w:r>
            <w:r>
              <w:rPr>
                <w:rFonts w:hint="eastAsia"/>
                <w:b/>
                <w:sz w:val="22"/>
                <w:lang w:val="en-GB"/>
              </w:rPr>
              <w:t>10</w:t>
            </w:r>
            <w:r>
              <w:rPr>
                <w:rFonts w:eastAsia="宋体"/>
                <w:b/>
                <w:sz w:val="22"/>
                <w:lang w:val="en-GB" w:eastAsia="zh-CN"/>
              </w:rPr>
              <w:t>/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 w:eastAsia="zh-HK"/>
              </w:rPr>
              <w:t>20</w:t>
            </w:r>
          </w:p>
        </w:tc>
      </w:tr>
    </w:tbl>
    <w:p>
      <w:pPr>
        <w:spacing w:line="216" w:lineRule="auto"/>
        <w:rPr>
          <w:sz w:val="22"/>
          <w:lang w:val="en-GB"/>
        </w:rPr>
      </w:pPr>
    </w:p>
    <w:p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To : Hong Kong Exchanges and Clearing Limited</w:t>
      </w:r>
    </w:p>
    <w:p>
      <w:pPr>
        <w:spacing w:line="216" w:lineRule="auto"/>
        <w:rPr>
          <w:sz w:val="22"/>
          <w:lang w:val="en-GB"/>
        </w:rPr>
      </w:pPr>
    </w:p>
    <w:p>
      <w:pPr>
        <w:spacing w:line="216" w:lineRule="auto"/>
        <w:rPr>
          <w:sz w:val="22"/>
          <w:lang w:val="en-GB"/>
        </w:rPr>
      </w:pPr>
    </w:p>
    <w:tbl>
      <w:tblPr>
        <w:tblStyle w:val="17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540"/>
        <w:gridCol w:w="2490"/>
        <w:gridCol w:w="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2808" w:type="dxa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Issuer</w:t>
            </w:r>
          </w:p>
        </w:tc>
        <w:tc>
          <w:tcPr>
            <w:tcW w:w="630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i/>
                <w:sz w:val="22"/>
                <w:lang w:val="en-GB"/>
              </w:rPr>
            </w:pPr>
            <w:r>
              <w:rPr>
                <w:rFonts w:hint="eastAsia"/>
                <w:sz w:val="22"/>
                <w:lang w:val="en-GB" w:eastAsia="zh-HK"/>
              </w:rPr>
              <w:t>Kingboard Laminates Holdings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exact"/>
        </w:trPr>
        <w:tc>
          <w:tcPr>
            <w:tcW w:w="2808" w:type="dxa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Submitted</w:t>
            </w:r>
          </w:p>
        </w:tc>
        <w:tc>
          <w:tcPr>
            <w:tcW w:w="35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rFonts w:eastAsia="宋体"/>
                <w:sz w:val="22"/>
                <w:lang w:val="en-GB" w:eastAsia="zh-CN"/>
              </w:rPr>
            </w:pPr>
            <w:r>
              <w:rPr>
                <w:rFonts w:hint="eastAsia"/>
                <w:sz w:val="22"/>
                <w:lang w:val="en-GB"/>
              </w:rPr>
              <w:t>03</w:t>
            </w:r>
            <w:r>
              <w:rPr>
                <w:rFonts w:hint="eastAsia"/>
                <w:sz w:val="22"/>
                <w:lang w:val="en-GB" w:eastAsia="zh-HK"/>
              </w:rPr>
              <w:t xml:space="preserve"> </w:t>
            </w:r>
            <w:r>
              <w:rPr>
                <w:rFonts w:hint="eastAsia"/>
                <w:sz w:val="22"/>
                <w:lang w:val="en-GB"/>
              </w:rPr>
              <w:t>November</w:t>
            </w:r>
            <w:r>
              <w:rPr>
                <w:rFonts w:hint="eastAsia"/>
                <w:sz w:val="22"/>
                <w:lang w:val="en-GB" w:eastAsia="zh-HK"/>
              </w:rPr>
              <w:t xml:space="preserve"> 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 w:eastAsia="zh-HK"/>
              </w:rPr>
              <w:t>20</w:t>
            </w:r>
          </w:p>
        </w:tc>
        <w:tc>
          <w:tcPr>
            <w:tcW w:w="249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>
      <w:pPr>
        <w:spacing w:line="216" w:lineRule="auto"/>
        <w:rPr>
          <w:lang w:val="en-GB"/>
        </w:rPr>
      </w:pPr>
    </w:p>
    <w:p>
      <w:pPr>
        <w:pStyle w:val="2"/>
        <w:spacing w:line="216" w:lineRule="auto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I. Movements in Authorised Share Capital</w:t>
      </w:r>
    </w:p>
    <w:p>
      <w:pPr>
        <w:spacing w:line="216" w:lineRule="auto"/>
        <w:rPr>
          <w:lang w:val="en-GB"/>
        </w:rPr>
      </w:pPr>
    </w:p>
    <w:p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1. Ordinary Shares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1888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Par value</w:t>
            </w:r>
          </w:p>
          <w:p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</w:t>
            </w:r>
            <w:r>
              <w:rPr>
                <w:rFonts w:hint="eastAsia"/>
                <w:i/>
                <w:iCs/>
                <w:sz w:val="22"/>
                <w:lang w:val="en-GB"/>
              </w:rPr>
              <w:t>HK$</w:t>
            </w:r>
            <w:r>
              <w:rPr>
                <w:i/>
                <w:iCs/>
                <w:sz w:val="22"/>
                <w:lang w:val="en-GB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Authorised share capital 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</w:t>
            </w:r>
            <w:r>
              <w:rPr>
                <w:rFonts w:hint="eastAsia"/>
                <w:i/>
                <w:iCs/>
                <w:sz w:val="22"/>
                <w:lang w:val="en-GB"/>
              </w:rPr>
              <w:t>HK$</w:t>
            </w:r>
            <w:r>
              <w:rPr>
                <w:i/>
                <w:iCs/>
                <w:sz w:val="22"/>
                <w:lang w:val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20,0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ind w:firstLine="300" w:firstLineChars="15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0</w:t>
            </w: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ind w:firstLine="400" w:firstLineChars="2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20,0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ind w:firstLine="300" w:firstLineChars="15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2,00</w:t>
            </w:r>
            <w:r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N/A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Par value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Authorised share capital </w:t>
            </w:r>
          </w:p>
          <w:p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>
      <w:pPr>
        <w:rPr>
          <w:lang w:val="en-GB"/>
        </w:rPr>
        <w:sectPr>
          <w:headerReference r:id="rId3" w:type="default"/>
          <w:footerReference r:id="rId4" w:type="even"/>
          <w:pgSz w:w="11907" w:h="16840"/>
          <w:pgMar w:top="990" w:right="1467" w:bottom="562" w:left="1620" w:header="720" w:footer="597" w:gutter="0"/>
          <w:pgNumType w:start="1"/>
          <w:cols w:space="720" w:num="1"/>
        </w:sectPr>
      </w:pPr>
    </w:p>
    <w:p>
      <w:pPr>
        <w:rPr>
          <w:sz w:val="22"/>
          <w:lang w:val="en-GB"/>
        </w:rPr>
      </w:pPr>
      <w:r>
        <w:rPr>
          <w:sz w:val="22"/>
          <w:lang w:val="en-GB"/>
        </w:rPr>
        <w:t>2. Preference Shares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N/A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Par value</w:t>
            </w:r>
          </w:p>
          <w:p>
            <w:pPr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</w:t>
            </w:r>
            <w:r>
              <w:rPr>
                <w:rFonts w:hint="eastAsia"/>
                <w:i/>
                <w:iCs/>
                <w:sz w:val="22"/>
                <w:lang w:val="en-GB" w:eastAsia="zh-HK"/>
              </w:rPr>
              <w:t>HK$</w:t>
            </w:r>
            <w:r>
              <w:rPr>
                <w:i/>
                <w:iCs/>
                <w:sz w:val="22"/>
                <w:lang w:val="en-GB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Authorised share capital </w:t>
            </w:r>
          </w:p>
          <w:p>
            <w:pPr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</w:t>
            </w:r>
            <w:r>
              <w:rPr>
                <w:rFonts w:hint="eastAsia"/>
                <w:i/>
                <w:iCs/>
                <w:sz w:val="22"/>
                <w:lang w:val="en-GB" w:eastAsia="zh-HK"/>
              </w:rPr>
              <w:t>HK$</w:t>
            </w:r>
            <w:r>
              <w:rPr>
                <w:i/>
                <w:iCs/>
                <w:sz w:val="22"/>
                <w:lang w:val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sz w:val="22"/>
          <w:lang w:val="en-GB"/>
        </w:rPr>
      </w:pPr>
      <w:r>
        <w:rPr>
          <w:sz w:val="22"/>
          <w:lang w:val="en-GB"/>
        </w:rPr>
        <w:t>3. Other Classes of Shares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N/A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Par value</w:t>
            </w:r>
          </w:p>
          <w:p>
            <w:pPr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Authorised share capital </w:t>
            </w:r>
          </w:p>
          <w:p>
            <w:pPr>
              <w:jc w:val="center"/>
              <w:rPr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3628" w:type="dxa"/>
            <w:gridSpan w:val="3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1648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</w:tbl>
    <w:p>
      <w:pPr>
        <w:rPr>
          <w:sz w:val="22"/>
          <w:lang w:val="en-GB"/>
        </w:rPr>
      </w:pP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8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8" w:type="dxa"/>
            <w:tcBorders>
              <w:top w:val="nil"/>
              <w:bottom w:val="nil"/>
            </w:tcBorders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Total authorised share capital at the end of the month </w:t>
            </w:r>
            <w:r>
              <w:rPr>
                <w:i/>
                <w:iCs/>
                <w:sz w:val="22"/>
                <w:lang w:val="en-GB"/>
              </w:rPr>
              <w:t>(</w:t>
            </w:r>
            <w:r>
              <w:rPr>
                <w:rFonts w:hint="eastAsia"/>
                <w:i/>
                <w:iCs/>
                <w:sz w:val="22"/>
                <w:lang w:val="en-GB"/>
              </w:rPr>
              <w:t>HK$</w:t>
            </w:r>
            <w:r>
              <w:rPr>
                <w:i/>
                <w:iCs/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2,000</w:t>
            </w:r>
            <w:r>
              <w:rPr>
                <w:rFonts w:hint="eastAsia"/>
                <w:b/>
                <w:sz w:val="22"/>
                <w:lang w:val="en-GB"/>
              </w:rPr>
              <w:t>,</w:t>
            </w:r>
            <w:r>
              <w:rPr>
                <w:rFonts w:hint="eastAsia"/>
                <w:b/>
                <w:sz w:val="22"/>
                <w:lang w:val="en-GB" w:eastAsia="zh-HK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00,000</w:t>
            </w:r>
          </w:p>
        </w:tc>
      </w:tr>
    </w:tbl>
    <w:p>
      <w:pPr>
        <w:rPr>
          <w:lang w:val="en-GB"/>
        </w:rPr>
      </w:pPr>
    </w:p>
    <w:p>
      <w:pPr>
        <w:pStyle w:val="2"/>
        <w:rPr>
          <w:sz w:val="24"/>
          <w:szCs w:val="24"/>
          <w:lang w:val="en-GB"/>
        </w:rPr>
      </w:pPr>
    </w:p>
    <w:p>
      <w:pPr>
        <w:pStyle w:val="2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t>II. Movements in Issued Share Capital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" w:hRule="atLeast"/>
        </w:trPr>
        <w:tc>
          <w:tcPr>
            <w:tcW w:w="2188" w:type="dxa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No. of other classes of shares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" w:hRule="atLeast"/>
        </w:trPr>
        <w:tc>
          <w:tcPr>
            <w:tcW w:w="2188" w:type="dxa"/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</w:trPr>
        <w:tc>
          <w:tcPr>
            <w:tcW w:w="2188" w:type="dxa"/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3,119,100,000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N/A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N/A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N/A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8" w:hRule="atLeast"/>
        </w:trPr>
        <w:tc>
          <w:tcPr>
            <w:tcW w:w="2188" w:type="dxa"/>
            <w:tcBorders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200,000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N/A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N/A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N/A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2" w:hRule="atLeast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rFonts w:hint="eastAsia"/>
                <w:b/>
                <w:sz w:val="20"/>
                <w:lang w:val="en-GB" w:eastAsia="zh-HK"/>
              </w:rPr>
              <w:t>3,119,300,000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pStyle w:val="12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12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    N/A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N/A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 N/A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" w:hRule="atLeast"/>
        </w:trPr>
        <w:tc>
          <w:tcPr>
            <w:tcW w:w="5338" w:type="dxa"/>
            <w:gridSpan w:val="7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pStyle w:val="2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III. Details of Movements in Issued Share Capital</w:t>
      </w:r>
    </w:p>
    <w:p>
      <w:pPr>
        <w:rPr>
          <w:lang w:val="en-GB"/>
        </w:rPr>
      </w:pPr>
    </w:p>
    <w:p>
      <w:pPr>
        <w:rPr>
          <w:sz w:val="20"/>
          <w:lang w:val="en-GB"/>
        </w:rPr>
      </w:pPr>
      <w:r>
        <w:rPr>
          <w:sz w:val="20"/>
          <w:lang w:val="en-GB"/>
        </w:rPr>
        <w:t>Share Options (under Share Option Schemes of the Issuer)</w:t>
      </w:r>
    </w:p>
    <w:tbl>
      <w:tblPr>
        <w:tblStyle w:val="17"/>
        <w:tblW w:w="10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671"/>
        <w:gridCol w:w="90"/>
        <w:gridCol w:w="600"/>
        <w:gridCol w:w="480"/>
        <w:gridCol w:w="720"/>
        <w:gridCol w:w="120"/>
        <w:gridCol w:w="12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2" w:hRule="atLeast"/>
        </w:trPr>
        <w:tc>
          <w:tcPr>
            <w:tcW w:w="164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Particulars of share option scheme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including EGM approval date</w:t>
            </w:r>
          </w:p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 and class of shares issuable</w:t>
            </w:r>
          </w:p>
        </w:tc>
        <w:tc>
          <w:tcPr>
            <w:tcW w:w="499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issued during the month pursuant thereto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7" w:hRule="atLeast"/>
        </w:trPr>
        <w:tc>
          <w:tcPr>
            <w:tcW w:w="164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Cancelled</w:t>
            </w:r>
          </w:p>
        </w:tc>
        <w:tc>
          <w:tcPr>
            <w:tcW w:w="1211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 w:val="continue"/>
            <w:tcBorders>
              <w:top w:val="nil"/>
              <w:bottom w:val="nil"/>
            </w:tcBorders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 Exercise price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4" w:firstLineChars="12"/>
              <w:jc w:val="both"/>
              <w:rPr>
                <w:rFonts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HK"/>
              </w:rPr>
              <w:t>HK$</w:t>
            </w:r>
            <w:r>
              <w:rPr>
                <w:rFonts w:hint="eastAsia" w:eastAsia="宋体"/>
                <w:sz w:val="20"/>
                <w:szCs w:val="20"/>
                <w:lang w:val="en-GB" w:eastAsia="zh-CN"/>
              </w:rPr>
              <w:t>8</w:t>
            </w:r>
            <w:r>
              <w:rPr>
                <w:rFonts w:hint="eastAsia"/>
                <w:sz w:val="20"/>
                <w:szCs w:val="20"/>
                <w:lang w:val="en-GB" w:eastAsia="zh-HK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GB" w:eastAsia="zh-CN"/>
              </w:rPr>
              <w:t>39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per share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 w:eastAsia="宋体"/>
                <w:sz w:val="20"/>
                <w:lang w:val="en-GB" w:eastAsia="zh-CN"/>
              </w:rPr>
              <w:t>29</w:t>
            </w:r>
            <w:r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5</w:t>
            </w:r>
            <w:r>
              <w:rPr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 w:eastAsia="zh-HK"/>
              </w:rPr>
              <w:t>20</w:t>
            </w:r>
            <w:r>
              <w:rPr>
                <w:rFonts w:hint="eastAsia" w:eastAsia="宋体"/>
                <w:sz w:val="20"/>
                <w:lang w:val="en-GB" w:eastAsia="zh-CN"/>
              </w:rPr>
              <w:t>1</w:t>
            </w:r>
            <w:r>
              <w:rPr>
                <w:rFonts w:hint="eastAsia"/>
                <w:sz w:val="20"/>
                <w:lang w:val="en-GB" w:eastAsia="zh-HK"/>
              </w:rPr>
              <w:t>7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sz w:val="20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200,000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sz w:val="20"/>
                <w:szCs w:val="20"/>
                <w:lang w:val="en-GB" w:eastAsia="zh-CN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200,000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  <w:lang w:val="en-GB" w:eastAsia="zh-HK"/>
              </w:rPr>
            </w:pP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rFonts w:hint="eastAsia" w:eastAsia="宋体"/>
                <w:sz w:val="20"/>
                <w:lang w:val="en-GB" w:eastAsia="zh-CN"/>
              </w:rPr>
              <w:t>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right="440"/>
              <w:rPr>
                <w:sz w:val="20"/>
                <w:szCs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 xml:space="preserve">ordinary </w:t>
            </w:r>
            <w:r>
              <w:rPr>
                <w:sz w:val="20"/>
                <w:szCs w:val="20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3551" w:type="dxa"/>
            <w:gridSpan w:val="9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szCs w:val="20"/>
                <w:lang w:val="en-GB"/>
              </w:rPr>
              <w:t>200,000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N/A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2291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N/A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2" w:hRule="atLeast"/>
        </w:trPr>
        <w:tc>
          <w:tcPr>
            <w:tcW w:w="4588" w:type="dxa"/>
            <w:gridSpan w:val="11"/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funds raised during the month from exercise of options (</w:t>
            </w:r>
            <w:r>
              <w:rPr>
                <w:rFonts w:hint="eastAsia"/>
                <w:sz w:val="20"/>
                <w:lang w:val="en-GB"/>
              </w:rPr>
              <w:t>HK$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651" w:type="dxa"/>
            <w:gridSpan w:val="7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b/>
                <w:sz w:val="22"/>
                <w:lang w:val="en-GB"/>
              </w:rPr>
              <w:t>1,678,000</w:t>
            </w:r>
          </w:p>
        </w:tc>
        <w:tc>
          <w:tcPr>
            <w:tcW w:w="3270" w:type="dxa"/>
            <w:gridSpan w:val="5"/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3" w:hRule="atLeast"/>
        </w:trPr>
        <w:tc>
          <w:tcPr>
            <w:tcW w:w="1648" w:type="dxa"/>
            <w:gridSpan w:val="3"/>
            <w:vAlign w:val="center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41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>
            <w:pPr>
              <w:rPr>
                <w:sz w:val="20"/>
                <w:lang w:val="en-GB"/>
              </w:rPr>
            </w:pPr>
          </w:p>
        </w:tc>
      </w:tr>
    </w:tbl>
    <w:p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sz w:val="20"/>
          <w:lang w:val="en-GB"/>
        </w:rPr>
        <w:t>Warrants to Issue Shares of the Issuer which are to be Listed</w:t>
      </w:r>
    </w:p>
    <w:tbl>
      <w:tblPr>
        <w:tblStyle w:val="17"/>
        <w:tblW w:w="10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tblHeader/>
        </w:trPr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Description of warrants</w:t>
            </w:r>
          </w:p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(Date of expiry - dd/mm/yyyy)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issued during the month pursuant thereto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N/A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color="auto" w:sz="4" w:space="0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bottom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bottom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bottom w:val="nil"/>
            </w:tcBorders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continue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Total B.      </w:t>
            </w:r>
            <w:r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(Other class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</w:tbl>
    <w:p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sz w:val="20"/>
          <w:lang w:val="en-GB"/>
        </w:rPr>
        <w:t>Convertibles (i.e. Convertible into Shares of the Issuer which are to be Listed)</w:t>
      </w:r>
    </w:p>
    <w:tbl>
      <w:tblPr>
        <w:tblStyle w:val="17"/>
        <w:tblW w:w="10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2" w:hRule="atLeast"/>
          <w:tblHeader/>
        </w:trPr>
        <w:tc>
          <w:tcPr>
            <w:tcW w:w="28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issued during the month pursuant thereto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>
            <w:pPr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N/A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242"/>
                <w:tab w:val="clear" w:pos="360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" w:hRule="atLeast"/>
        </w:trPr>
        <w:tc>
          <w:tcPr>
            <w:tcW w:w="118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(if applicable)</w:t>
            </w:r>
          </w:p>
          <w:p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207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5" w:hRule="atLeast"/>
        </w:trPr>
        <w:tc>
          <w:tcPr>
            <w:tcW w:w="23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  <w:tc>
          <w:tcPr>
            <w:tcW w:w="6570" w:type="dxa"/>
            <w:gridSpan w:val="14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rPr>
                <w:sz w:val="20"/>
                <w:lang w:val="en-GB"/>
              </w:rPr>
            </w:pPr>
          </w:p>
        </w:tc>
      </w:tr>
    </w:tbl>
    <w:p>
      <w:pPr>
        <w:rPr>
          <w:sz w:val="20"/>
          <w:lang w:val="en-GB"/>
        </w:rPr>
      </w:pPr>
    </w:p>
    <w:p>
      <w:pPr>
        <w:spacing w:line="216" w:lineRule="auto"/>
        <w:rPr>
          <w:sz w:val="20"/>
          <w:lang w:val="en-GB"/>
        </w:rPr>
      </w:pPr>
    </w:p>
    <w:p>
      <w:pPr>
        <w:spacing w:line="216" w:lineRule="auto"/>
        <w:rPr>
          <w:sz w:val="20"/>
          <w:lang w:val="en-GB"/>
        </w:rPr>
      </w:pPr>
    </w:p>
    <w:p>
      <w:pPr>
        <w:spacing w:line="216" w:lineRule="auto"/>
        <w:rPr>
          <w:lang w:val="en-GB"/>
        </w:rPr>
      </w:pPr>
      <w:r>
        <w:rPr>
          <w:sz w:val="20"/>
          <w:lang w:val="en-GB"/>
        </w:rPr>
        <w:t xml:space="preserve">Any other Agreements or Arrangements to Issue Shares of the Issuer which are to be Listed, including Options (other than under Share Option Schemes) </w:t>
      </w: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5641"/>
        <w:gridCol w:w="1920"/>
        <w:gridCol w:w="24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7" w:type="dxa"/>
            <w:gridSpan w:val="2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Full particulars including EGM approval date (dd/mm/yyyy),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color="auto" w:sz="4" w:space="0"/>
              <w:right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issued during the month pursuant thereto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N/A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shares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shares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shares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>Other Movements in Issued Share Capital</w:t>
      </w:r>
    </w:p>
    <w:tbl>
      <w:tblPr>
        <w:tblStyle w:val="17"/>
        <w:tblW w:w="10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810"/>
        <w:gridCol w:w="360"/>
        <w:gridCol w:w="36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4" w:hRule="atLeast"/>
          <w:tblHeader/>
        </w:trPr>
        <w:tc>
          <w:tcPr>
            <w:tcW w:w="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1" w:hRule="atLeast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  <w:vAlign w:val="bottom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2" w:hRule="atLeast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4" w:hRule="atLeast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2" w:hRule="atLeast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repurchased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Cancellation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Redemption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8" w:hRule="atLeast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1" w:hRule="atLeast"/>
        </w:trPr>
        <w:tc>
          <w:tcPr>
            <w:tcW w:w="2068" w:type="dxa"/>
            <w:gridSpan w:val="2"/>
            <w:vMerge w:val="continue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</w:trPr>
        <w:tc>
          <w:tcPr>
            <w:tcW w:w="20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  <w:p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>(Please specify)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  <w:p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Class of shares issuable </w:t>
            </w:r>
            <w:r>
              <w:rPr>
                <w:i/>
                <w:iCs/>
                <w:sz w:val="20"/>
                <w:lang w:val="en-GB"/>
              </w:rPr>
              <w:t>(Note 1)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Issue and allotment date : (dd/mm/yyyy)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EGM approval date:</w:t>
            </w:r>
          </w:p>
          <w:p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(dd/mm/yyyy)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atLeast"/>
        </w:trPr>
        <w:tc>
          <w:tcPr>
            <w:tcW w:w="2068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continue"/>
            <w:tcBorders>
              <w:bottom w:val="nil"/>
            </w:tcBorders>
            <w:vAlign w:val="center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continue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bottom w:val="nil"/>
            </w:tcBorders>
          </w:tcPr>
          <w:p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tcBorders>
              <w:bottom w:val="nil"/>
            </w:tcBorders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continue"/>
            <w:tcBorders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continue"/>
            <w:tcBorders>
              <w:bottom w:val="nil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5" w:hRule="atLeast"/>
        </w:trPr>
        <w:tc>
          <w:tcPr>
            <w:tcW w:w="2068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9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3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(Preference shares)</w:t>
            </w: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(Other class)</w:t>
            </w:r>
          </w:p>
        </w:tc>
        <w:tc>
          <w:tcPr>
            <w:tcW w:w="990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" w:hRule="atLeast"/>
        </w:trPr>
        <w:tc>
          <w:tcPr>
            <w:tcW w:w="10108" w:type="dxa"/>
            <w:gridSpan w:val="1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</w:p>
    <w:tbl>
      <w:tblPr>
        <w:tblStyle w:val="17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increase / (decrease) in ordinary shares during the month (i.e. Total of A to E):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>(1)</w:t>
            </w:r>
          </w:p>
        </w:tc>
        <w:tc>
          <w:tcPr>
            <w:tcW w:w="202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>(2)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        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eastAsia="宋体"/>
                <w:lang w:val="en-GB" w:eastAsia="zh-CN"/>
              </w:rPr>
            </w:pPr>
            <w:r>
              <w:rPr>
                <w:rFonts w:hint="eastAsia" w:eastAsia="宋体"/>
                <w:lang w:val="en-GB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059" w:type="dxa"/>
            <w:vAlign w:val="center"/>
          </w:tcPr>
          <w:p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         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  <w:gridSpan w:val="2"/>
          </w:tcPr>
          <w:p>
            <w:pPr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br w:type="page"/>
      </w:r>
    </w:p>
    <w:p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Remarks (if any):</w:t>
      </w:r>
    </w:p>
    <w:tbl>
      <w:tblPr>
        <w:tblStyle w:val="17"/>
        <w:tblW w:w="1018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188" w:type="dxa"/>
            <w:vAlign w:val="bottom"/>
          </w:tcPr>
          <w:p>
            <w:pPr>
              <w:rPr>
                <w:b/>
                <w:sz w:val="22"/>
                <w:lang w:val="en-GB"/>
              </w:rPr>
            </w:pPr>
          </w:p>
        </w:tc>
      </w:tr>
    </w:tbl>
    <w:p>
      <w:pPr>
        <w:pStyle w:val="5"/>
        <w:tabs>
          <w:tab w:val="right" w:pos="2040"/>
          <w:tab w:val="left" w:pos="2250"/>
        </w:tabs>
        <w:ind w:left="0"/>
        <w:rPr>
          <w:lang w:val="en-GB"/>
        </w:rPr>
      </w:pPr>
    </w:p>
    <w:p>
      <w:pPr>
        <w:pStyle w:val="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Submitted by: </w:t>
      </w:r>
      <w:r>
        <w:rPr>
          <w:sz w:val="22"/>
          <w:szCs w:val="22"/>
          <w:lang w:val="en-GB"/>
        </w:rPr>
        <w:tab/>
      </w:r>
      <w:r>
        <w:rPr>
          <w:rFonts w:hint="eastAsia"/>
          <w:sz w:val="22"/>
          <w:szCs w:val="22"/>
          <w:u w:val="single"/>
          <w:lang w:val="en-GB"/>
        </w:rPr>
        <w:t xml:space="preserve">    </w:t>
      </w:r>
      <w:r>
        <w:rPr>
          <w:rFonts w:hint="eastAsia" w:eastAsia="宋体"/>
          <w:sz w:val="22"/>
          <w:szCs w:val="22"/>
          <w:u w:val="single"/>
          <w:lang w:val="en-GB" w:eastAsia="zh-CN"/>
        </w:rPr>
        <w:t>Lam Ting Hin</w:t>
      </w:r>
      <w:r>
        <w:rPr>
          <w:rFonts w:hint="eastAsia"/>
          <w:sz w:val="22"/>
          <w:szCs w:val="22"/>
          <w:u w:val="single"/>
          <w:lang w:val="en-GB" w:eastAsia="zh-HK"/>
        </w:rPr>
        <w:t xml:space="preserve">   </w:t>
      </w:r>
      <w:r>
        <w:rPr>
          <w:rFonts w:hint="eastAsia"/>
          <w:sz w:val="22"/>
          <w:szCs w:val="22"/>
          <w:u w:val="single"/>
          <w:lang w:val="en-GB"/>
        </w:rPr>
        <w:t xml:space="preserve">        _     </w:t>
      </w:r>
    </w:p>
    <w:p>
      <w:pPr>
        <w:pStyle w:val="5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>
      <w:pPr>
        <w:pStyle w:val="5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Title:</w:t>
      </w:r>
      <w:r>
        <w:rPr>
          <w:sz w:val="22"/>
          <w:szCs w:val="22"/>
          <w:lang w:val="en-GB"/>
        </w:rPr>
        <w:tab/>
      </w:r>
      <w:r>
        <w:rPr>
          <w:rFonts w:hint="eastAsia"/>
          <w:sz w:val="22"/>
          <w:szCs w:val="22"/>
          <w:u w:val="single"/>
          <w:lang w:val="en-GB"/>
        </w:rPr>
        <w:t xml:space="preserve">     Company Secretary             _      </w:t>
      </w:r>
    </w:p>
    <w:p>
      <w:pPr>
        <w:pStyle w:val="5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(Director, Secretary or other duly authorised officer)</w:t>
      </w:r>
    </w:p>
    <w:p>
      <w:pPr>
        <w:pStyle w:val="5"/>
        <w:tabs>
          <w:tab w:val="left" w:pos="2040"/>
        </w:tabs>
        <w:ind w:left="0"/>
        <w:rPr>
          <w:lang w:val="en-GB"/>
        </w:rPr>
      </w:pPr>
    </w:p>
    <w:tbl>
      <w:tblPr>
        <w:tblStyle w:val="1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</w:trPr>
        <w:tc>
          <w:tcPr>
            <w:tcW w:w="10440" w:type="dxa"/>
            <w:tcBorders>
              <w:bottom w:val="single" w:color="auto" w:sz="18" w:space="0"/>
            </w:tcBorders>
          </w:tcPr>
          <w:p>
            <w:pPr>
              <w:rPr>
                <w:i/>
                <w:sz w:val="22"/>
                <w:lang w:val="en-GB"/>
              </w:rPr>
            </w:pPr>
          </w:p>
        </w:tc>
      </w:tr>
    </w:tbl>
    <w:p>
      <w:pPr>
        <w:pStyle w:val="5"/>
        <w:ind w:left="0"/>
        <w:rPr>
          <w:sz w:val="22"/>
          <w:lang w:val="en-GB"/>
        </w:rPr>
      </w:pPr>
    </w:p>
    <w:p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sz w:val="22"/>
          <w:szCs w:val="22"/>
          <w:lang w:val="en-GB"/>
        </w:rPr>
        <w:t xml:space="preserve">Notes : </w:t>
      </w:r>
      <w:r>
        <w:rPr>
          <w:i/>
          <w:iCs/>
          <w:lang w:val="en-GB"/>
        </w:rPr>
        <w:tab/>
      </w:r>
    </w:p>
    <w:p>
      <w:pPr>
        <w:spacing w:before="60" w:after="60"/>
        <w:jc w:val="both"/>
        <w:rPr>
          <w:i/>
          <w:iCs/>
          <w:lang w:val="en-GB"/>
        </w:rPr>
      </w:pPr>
    </w:p>
    <w:p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>State the class of shares (e.g. ordinary, preference or other).</w:t>
      </w:r>
    </w:p>
    <w:p>
      <w:pPr>
        <w:spacing w:before="60" w:after="60"/>
        <w:jc w:val="both"/>
        <w:rPr>
          <w:i/>
          <w:iCs/>
          <w:lang w:val="en-GB"/>
        </w:rPr>
      </w:pPr>
    </w:p>
    <w:p>
      <w:pPr>
        <w:spacing w:before="60" w:after="60"/>
        <w:ind w:left="720" w:hanging="720"/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>If there is insufficient space, please append the prescribed continuation sheet.</w:t>
      </w:r>
    </w:p>
    <w:p>
      <w:pPr>
        <w:spacing w:before="60" w:after="60"/>
        <w:jc w:val="both"/>
        <w:rPr>
          <w:lang w:val="en-GB"/>
        </w:rPr>
      </w:pPr>
    </w:p>
    <w:p>
      <w:pPr>
        <w:pStyle w:val="5"/>
        <w:tabs>
          <w:tab w:val="left" w:pos="0"/>
        </w:tabs>
        <w:ind w:left="0"/>
        <w:rPr>
          <w:lang w:val="en-GB"/>
        </w:rPr>
      </w:pPr>
    </w:p>
    <w:sectPr>
      <w:footerReference r:id="rId5" w:type="default"/>
      <w:pgSz w:w="11909" w:h="16834"/>
      <w:pgMar w:top="454" w:right="1077" w:bottom="454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 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MJJNB+Garamond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宋＋45 Univers">
    <w:altName w:val="MingLiU"/>
    <w:panose1 w:val="00000000000000000000"/>
    <w:charset w:val="88"/>
    <w:family w:val="swiss"/>
    <w:pitch w:val="default"/>
    <w:sig w:usb0="00000000" w:usb1="00000000" w:usb2="00000010" w:usb3="00000000" w:csb0="0010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2E1"/>
    <w:multiLevelType w:val="singleLevel"/>
    <w:tmpl w:val="0A2012E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1">
    <w:nsid w:val="31F65B72"/>
    <w:multiLevelType w:val="multilevel"/>
    <w:tmpl w:val="31F65B72"/>
    <w:lvl w:ilvl="0" w:tentative="0">
      <w:start w:val="1"/>
      <w:numFmt w:val="lowerRoman"/>
      <w:pStyle w:val="47"/>
      <w:lvlText w:val="(%1)"/>
      <w:lvlJc w:val="left"/>
      <w:pPr>
        <w:tabs>
          <w:tab w:val="left" w:pos="624"/>
        </w:tabs>
        <w:ind w:left="624" w:hanging="624"/>
      </w:pPr>
      <w:rPr>
        <w:b w:val="0"/>
        <w:i w:val="0"/>
        <w:sz w:val="18"/>
      </w:rPr>
    </w:lvl>
    <w:lvl w:ilvl="1" w:tentative="0">
      <w:start w:val="1"/>
      <w:numFmt w:val="lowerRoman"/>
      <w:pStyle w:val="48"/>
      <w:lvlText w:val="(%2)"/>
      <w:lvlJc w:val="left"/>
      <w:pPr>
        <w:tabs>
          <w:tab w:val="left" w:pos="1417"/>
        </w:tabs>
        <w:ind w:left="1417" w:hanging="793"/>
      </w:pPr>
      <w:rPr>
        <w:b w:val="0"/>
        <w:i w:val="0"/>
        <w:sz w:val="18"/>
      </w:rPr>
    </w:lvl>
    <w:lvl w:ilvl="2" w:tentative="0">
      <w:start w:val="1"/>
      <w:numFmt w:val="lowerRoman"/>
      <w:pStyle w:val="49"/>
      <w:lvlText w:val="(%3)"/>
      <w:lvlJc w:val="left"/>
      <w:pPr>
        <w:tabs>
          <w:tab w:val="left" w:pos="1928"/>
        </w:tabs>
        <w:ind w:left="1928" w:hanging="511"/>
      </w:pPr>
      <w:rPr>
        <w:b w:val="0"/>
        <w:i w:val="0"/>
        <w:sz w:val="18"/>
      </w:rPr>
    </w:lvl>
    <w:lvl w:ilvl="3" w:tentative="0">
      <w:start w:val="1"/>
      <w:numFmt w:val="decimal"/>
      <w:lvlText w:val="(%4)"/>
      <w:lvlJc w:val="left"/>
      <w:pPr>
        <w:tabs>
          <w:tab w:val="left" w:pos="2438"/>
        </w:tabs>
        <w:ind w:left="2438" w:hanging="510"/>
      </w:pPr>
      <w:rPr>
        <w:b w:val="0"/>
        <w:i w:val="0"/>
        <w:sz w:val="20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4C4B2AEA"/>
    <w:lvl w:ilvl="0" w:tentative="0">
      <w:start w:val="1"/>
      <w:numFmt w:val="lowerLetter"/>
      <w:pStyle w:val="44"/>
      <w:lvlText w:val="(%1)"/>
      <w:lvlJc w:val="left"/>
      <w:pPr>
        <w:tabs>
          <w:tab w:val="left" w:pos="624"/>
        </w:tabs>
        <w:ind w:left="624" w:hanging="624"/>
      </w:pPr>
      <w:rPr>
        <w:b w:val="0"/>
        <w:i w:val="0"/>
        <w:sz w:val="20"/>
      </w:rPr>
    </w:lvl>
    <w:lvl w:ilvl="1" w:tentative="0">
      <w:start w:val="1"/>
      <w:numFmt w:val="lowerLetter"/>
      <w:pStyle w:val="45"/>
      <w:lvlText w:val="(%2)"/>
      <w:lvlJc w:val="left"/>
      <w:pPr>
        <w:tabs>
          <w:tab w:val="left" w:pos="1417"/>
        </w:tabs>
        <w:ind w:left="1417" w:hanging="793"/>
      </w:pPr>
      <w:rPr>
        <w:b w:val="0"/>
        <w:i w:val="0"/>
        <w:sz w:val="20"/>
      </w:rPr>
    </w:lvl>
    <w:lvl w:ilvl="2" w:tentative="0">
      <w:start w:val="1"/>
      <w:numFmt w:val="lowerLetter"/>
      <w:pStyle w:val="46"/>
      <w:lvlText w:val="(%3)"/>
      <w:lvlJc w:val="left"/>
      <w:pPr>
        <w:tabs>
          <w:tab w:val="left" w:pos="1928"/>
        </w:tabs>
        <w:ind w:left="1928" w:hanging="511"/>
      </w:pPr>
      <w:rPr>
        <w:b w:val="0"/>
        <w:i w:val="0"/>
        <w:sz w:val="20"/>
      </w:rPr>
    </w:lvl>
    <w:lvl w:ilvl="3" w:tentative="0">
      <w:start w:val="1"/>
      <w:numFmt w:val="decimal"/>
      <w:lvlText w:val="(%4)"/>
      <w:lvlJc w:val="left"/>
      <w:pPr>
        <w:tabs>
          <w:tab w:val="left" w:pos="2154"/>
        </w:tabs>
        <w:ind w:left="2154" w:hanging="510"/>
      </w:pPr>
      <w:rPr>
        <w:b w:val="0"/>
        <w:i w:val="0"/>
        <w:sz w:val="20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50A92982"/>
    <w:lvl w:ilvl="0" w:tentative="0">
      <w:start w:val="1"/>
      <w:numFmt w:val="bullet"/>
      <w:lvlText w:val=""/>
      <w:lvlJc w:val="left"/>
      <w:pPr>
        <w:tabs>
          <w:tab w:val="left" w:pos="360"/>
        </w:tabs>
        <w:ind w:left="216" w:hanging="216"/>
      </w:pPr>
      <w:rPr>
        <w:rFonts w:hint="default" w:ascii="Wingdings" w:hAnsi="Wingdings"/>
        <w:strike w:val="0"/>
        <w:dstrike w:val="0"/>
      </w:rPr>
    </w:lvl>
  </w:abstractNum>
  <w:abstractNum w:abstractNumId="4">
    <w:nsid w:val="5F72502C"/>
    <w:multiLevelType w:val="singleLevel"/>
    <w:tmpl w:val="5F72502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abstractNum w:abstractNumId="5">
    <w:nsid w:val="69105B05"/>
    <w:multiLevelType w:val="singleLevel"/>
    <w:tmpl w:val="69105B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103FA"/>
    <w:rsid w:val="00011486"/>
    <w:rsid w:val="00013CBC"/>
    <w:rsid w:val="00014738"/>
    <w:rsid w:val="00014B95"/>
    <w:rsid w:val="000249C1"/>
    <w:rsid w:val="00024F46"/>
    <w:rsid w:val="00031F58"/>
    <w:rsid w:val="000325AF"/>
    <w:rsid w:val="00032C96"/>
    <w:rsid w:val="00033B96"/>
    <w:rsid w:val="00033CA1"/>
    <w:rsid w:val="000602BA"/>
    <w:rsid w:val="00065724"/>
    <w:rsid w:val="00065925"/>
    <w:rsid w:val="00076842"/>
    <w:rsid w:val="00091555"/>
    <w:rsid w:val="00096553"/>
    <w:rsid w:val="000B5B42"/>
    <w:rsid w:val="000B6794"/>
    <w:rsid w:val="000C0E76"/>
    <w:rsid w:val="000D0C32"/>
    <w:rsid w:val="000D5BB6"/>
    <w:rsid w:val="000E4164"/>
    <w:rsid w:val="000F534F"/>
    <w:rsid w:val="000F561B"/>
    <w:rsid w:val="0010768F"/>
    <w:rsid w:val="001163B7"/>
    <w:rsid w:val="00155612"/>
    <w:rsid w:val="001639E9"/>
    <w:rsid w:val="00164BED"/>
    <w:rsid w:val="00166AAA"/>
    <w:rsid w:val="001676B1"/>
    <w:rsid w:val="001720F3"/>
    <w:rsid w:val="001741CA"/>
    <w:rsid w:val="00184D7D"/>
    <w:rsid w:val="001962BD"/>
    <w:rsid w:val="00196CE2"/>
    <w:rsid w:val="001B0C77"/>
    <w:rsid w:val="001B2A5E"/>
    <w:rsid w:val="001B6408"/>
    <w:rsid w:val="001C1F45"/>
    <w:rsid w:val="001C2DA8"/>
    <w:rsid w:val="001C51F9"/>
    <w:rsid w:val="001C5DBA"/>
    <w:rsid w:val="001D378B"/>
    <w:rsid w:val="001D3BD1"/>
    <w:rsid w:val="001E00AF"/>
    <w:rsid w:val="001E2766"/>
    <w:rsid w:val="001E41E5"/>
    <w:rsid w:val="001F4AC7"/>
    <w:rsid w:val="002021F1"/>
    <w:rsid w:val="002025C3"/>
    <w:rsid w:val="002101D5"/>
    <w:rsid w:val="002167F9"/>
    <w:rsid w:val="002243A9"/>
    <w:rsid w:val="00237FC1"/>
    <w:rsid w:val="00240FF5"/>
    <w:rsid w:val="002569EE"/>
    <w:rsid w:val="0025771F"/>
    <w:rsid w:val="00275CCE"/>
    <w:rsid w:val="0028226C"/>
    <w:rsid w:val="002846A5"/>
    <w:rsid w:val="002973DA"/>
    <w:rsid w:val="002A23A8"/>
    <w:rsid w:val="002A568D"/>
    <w:rsid w:val="002B0EAA"/>
    <w:rsid w:val="002B1E22"/>
    <w:rsid w:val="002B34F3"/>
    <w:rsid w:val="002B4FDF"/>
    <w:rsid w:val="002B6F38"/>
    <w:rsid w:val="002C4C18"/>
    <w:rsid w:val="002C65FC"/>
    <w:rsid w:val="002E1A5B"/>
    <w:rsid w:val="002E7B24"/>
    <w:rsid w:val="00307788"/>
    <w:rsid w:val="00312C25"/>
    <w:rsid w:val="00314441"/>
    <w:rsid w:val="00316C45"/>
    <w:rsid w:val="0032023D"/>
    <w:rsid w:val="003203BD"/>
    <w:rsid w:val="00326079"/>
    <w:rsid w:val="00326DF6"/>
    <w:rsid w:val="0035441B"/>
    <w:rsid w:val="00355FD7"/>
    <w:rsid w:val="003718C4"/>
    <w:rsid w:val="00374D74"/>
    <w:rsid w:val="003876C7"/>
    <w:rsid w:val="003927C2"/>
    <w:rsid w:val="00394D4D"/>
    <w:rsid w:val="003961CC"/>
    <w:rsid w:val="00397D92"/>
    <w:rsid w:val="003A370D"/>
    <w:rsid w:val="003B3841"/>
    <w:rsid w:val="003C0A75"/>
    <w:rsid w:val="003D0F97"/>
    <w:rsid w:val="003D219A"/>
    <w:rsid w:val="003E025C"/>
    <w:rsid w:val="003E39FF"/>
    <w:rsid w:val="003F46F6"/>
    <w:rsid w:val="003F53AE"/>
    <w:rsid w:val="003F6747"/>
    <w:rsid w:val="003F768C"/>
    <w:rsid w:val="003F77C4"/>
    <w:rsid w:val="0040255C"/>
    <w:rsid w:val="0040757C"/>
    <w:rsid w:val="004205D3"/>
    <w:rsid w:val="00450E91"/>
    <w:rsid w:val="00452E8F"/>
    <w:rsid w:val="00474ABD"/>
    <w:rsid w:val="00475484"/>
    <w:rsid w:val="00480850"/>
    <w:rsid w:val="00492D3D"/>
    <w:rsid w:val="00494CCF"/>
    <w:rsid w:val="004A1F90"/>
    <w:rsid w:val="004A2473"/>
    <w:rsid w:val="004A76A1"/>
    <w:rsid w:val="004C608A"/>
    <w:rsid w:val="004C7D62"/>
    <w:rsid w:val="004D164B"/>
    <w:rsid w:val="004F497E"/>
    <w:rsid w:val="004F60A2"/>
    <w:rsid w:val="004F79BD"/>
    <w:rsid w:val="005019A0"/>
    <w:rsid w:val="00521E54"/>
    <w:rsid w:val="00524E4E"/>
    <w:rsid w:val="005270F5"/>
    <w:rsid w:val="005330B7"/>
    <w:rsid w:val="00536E57"/>
    <w:rsid w:val="005429EC"/>
    <w:rsid w:val="00544654"/>
    <w:rsid w:val="00547565"/>
    <w:rsid w:val="00562E9E"/>
    <w:rsid w:val="00572587"/>
    <w:rsid w:val="0058094C"/>
    <w:rsid w:val="00586695"/>
    <w:rsid w:val="005A3910"/>
    <w:rsid w:val="005A47B3"/>
    <w:rsid w:val="005A5216"/>
    <w:rsid w:val="005B3586"/>
    <w:rsid w:val="005B6A19"/>
    <w:rsid w:val="005B6F47"/>
    <w:rsid w:val="005C063E"/>
    <w:rsid w:val="005C69F7"/>
    <w:rsid w:val="005D295A"/>
    <w:rsid w:val="005D3032"/>
    <w:rsid w:val="005D3760"/>
    <w:rsid w:val="005D3A89"/>
    <w:rsid w:val="005D40FA"/>
    <w:rsid w:val="005E468E"/>
    <w:rsid w:val="0060097C"/>
    <w:rsid w:val="00620613"/>
    <w:rsid w:val="00620CF4"/>
    <w:rsid w:val="006240A9"/>
    <w:rsid w:val="00625967"/>
    <w:rsid w:val="006468F5"/>
    <w:rsid w:val="00652AB6"/>
    <w:rsid w:val="006602DB"/>
    <w:rsid w:val="00667D6B"/>
    <w:rsid w:val="006875DB"/>
    <w:rsid w:val="006877BE"/>
    <w:rsid w:val="00692D6C"/>
    <w:rsid w:val="00696BBD"/>
    <w:rsid w:val="006A10EB"/>
    <w:rsid w:val="006A7EEA"/>
    <w:rsid w:val="006B0E3D"/>
    <w:rsid w:val="006B4708"/>
    <w:rsid w:val="006C34B7"/>
    <w:rsid w:val="006C74E9"/>
    <w:rsid w:val="006C7D70"/>
    <w:rsid w:val="006D09D5"/>
    <w:rsid w:val="006D33C8"/>
    <w:rsid w:val="006D65AA"/>
    <w:rsid w:val="006E5CC7"/>
    <w:rsid w:val="006F105B"/>
    <w:rsid w:val="006F5D5E"/>
    <w:rsid w:val="00700B5D"/>
    <w:rsid w:val="00701654"/>
    <w:rsid w:val="00713363"/>
    <w:rsid w:val="00715797"/>
    <w:rsid w:val="00717657"/>
    <w:rsid w:val="007244AA"/>
    <w:rsid w:val="00724C29"/>
    <w:rsid w:val="0072714F"/>
    <w:rsid w:val="00742F32"/>
    <w:rsid w:val="00752FF6"/>
    <w:rsid w:val="007534C7"/>
    <w:rsid w:val="0079003D"/>
    <w:rsid w:val="00796AAE"/>
    <w:rsid w:val="007A3EC9"/>
    <w:rsid w:val="007A55CD"/>
    <w:rsid w:val="007C0482"/>
    <w:rsid w:val="007C2ECC"/>
    <w:rsid w:val="007C3021"/>
    <w:rsid w:val="007C6081"/>
    <w:rsid w:val="007C73CA"/>
    <w:rsid w:val="0081103C"/>
    <w:rsid w:val="00812F84"/>
    <w:rsid w:val="00816A8B"/>
    <w:rsid w:val="00822999"/>
    <w:rsid w:val="00824264"/>
    <w:rsid w:val="00825345"/>
    <w:rsid w:val="00830F16"/>
    <w:rsid w:val="00836140"/>
    <w:rsid w:val="00841450"/>
    <w:rsid w:val="008451F7"/>
    <w:rsid w:val="00853BB4"/>
    <w:rsid w:val="00855655"/>
    <w:rsid w:val="0087046F"/>
    <w:rsid w:val="00870B50"/>
    <w:rsid w:val="00873529"/>
    <w:rsid w:val="00877363"/>
    <w:rsid w:val="008813EE"/>
    <w:rsid w:val="00881B73"/>
    <w:rsid w:val="00884310"/>
    <w:rsid w:val="008862C9"/>
    <w:rsid w:val="008865D3"/>
    <w:rsid w:val="008948B6"/>
    <w:rsid w:val="00894FBD"/>
    <w:rsid w:val="008B6343"/>
    <w:rsid w:val="008B6DAC"/>
    <w:rsid w:val="008B772C"/>
    <w:rsid w:val="008C062D"/>
    <w:rsid w:val="008C75CA"/>
    <w:rsid w:val="008E0444"/>
    <w:rsid w:val="008E386A"/>
    <w:rsid w:val="008E5218"/>
    <w:rsid w:val="008E6E0C"/>
    <w:rsid w:val="008F12DD"/>
    <w:rsid w:val="008F21B3"/>
    <w:rsid w:val="008F52A1"/>
    <w:rsid w:val="00904AB2"/>
    <w:rsid w:val="0090585F"/>
    <w:rsid w:val="009074F5"/>
    <w:rsid w:val="00911FC9"/>
    <w:rsid w:val="00914335"/>
    <w:rsid w:val="00914955"/>
    <w:rsid w:val="00916391"/>
    <w:rsid w:val="009164A4"/>
    <w:rsid w:val="0092452D"/>
    <w:rsid w:val="00926325"/>
    <w:rsid w:val="009267A8"/>
    <w:rsid w:val="009431EB"/>
    <w:rsid w:val="009438DC"/>
    <w:rsid w:val="00947761"/>
    <w:rsid w:val="00952F74"/>
    <w:rsid w:val="00956363"/>
    <w:rsid w:val="00957481"/>
    <w:rsid w:val="009762C7"/>
    <w:rsid w:val="009802CE"/>
    <w:rsid w:val="009A2063"/>
    <w:rsid w:val="009B7D7A"/>
    <w:rsid w:val="009D1440"/>
    <w:rsid w:val="009D79AF"/>
    <w:rsid w:val="009E35FB"/>
    <w:rsid w:val="009E441E"/>
    <w:rsid w:val="009F5382"/>
    <w:rsid w:val="00A17DA8"/>
    <w:rsid w:val="00A21F3E"/>
    <w:rsid w:val="00A23498"/>
    <w:rsid w:val="00A24D65"/>
    <w:rsid w:val="00A34AF1"/>
    <w:rsid w:val="00A40203"/>
    <w:rsid w:val="00A5312D"/>
    <w:rsid w:val="00A55125"/>
    <w:rsid w:val="00A63EBC"/>
    <w:rsid w:val="00A64A51"/>
    <w:rsid w:val="00A660C0"/>
    <w:rsid w:val="00A7029F"/>
    <w:rsid w:val="00A909D9"/>
    <w:rsid w:val="00A91819"/>
    <w:rsid w:val="00A9545E"/>
    <w:rsid w:val="00A95B64"/>
    <w:rsid w:val="00AA2EE1"/>
    <w:rsid w:val="00AA3EC4"/>
    <w:rsid w:val="00AB4833"/>
    <w:rsid w:val="00AB6B94"/>
    <w:rsid w:val="00AC6645"/>
    <w:rsid w:val="00AD03F2"/>
    <w:rsid w:val="00AD29B8"/>
    <w:rsid w:val="00AD69A1"/>
    <w:rsid w:val="00AE5F11"/>
    <w:rsid w:val="00AF0CDA"/>
    <w:rsid w:val="00AF5647"/>
    <w:rsid w:val="00AF771D"/>
    <w:rsid w:val="00B06131"/>
    <w:rsid w:val="00B1329A"/>
    <w:rsid w:val="00B243FE"/>
    <w:rsid w:val="00B338FC"/>
    <w:rsid w:val="00B35C52"/>
    <w:rsid w:val="00B40B71"/>
    <w:rsid w:val="00B43472"/>
    <w:rsid w:val="00B44832"/>
    <w:rsid w:val="00B47BA0"/>
    <w:rsid w:val="00B50697"/>
    <w:rsid w:val="00B64A84"/>
    <w:rsid w:val="00B6526C"/>
    <w:rsid w:val="00B81F8D"/>
    <w:rsid w:val="00B878FD"/>
    <w:rsid w:val="00B91630"/>
    <w:rsid w:val="00B9601C"/>
    <w:rsid w:val="00B96DF0"/>
    <w:rsid w:val="00BB2462"/>
    <w:rsid w:val="00BC6B2F"/>
    <w:rsid w:val="00BC75CB"/>
    <w:rsid w:val="00BC7BBC"/>
    <w:rsid w:val="00BE397E"/>
    <w:rsid w:val="00BE4478"/>
    <w:rsid w:val="00BE6855"/>
    <w:rsid w:val="00C0400A"/>
    <w:rsid w:val="00C04235"/>
    <w:rsid w:val="00C240E8"/>
    <w:rsid w:val="00C25458"/>
    <w:rsid w:val="00C31C17"/>
    <w:rsid w:val="00C34144"/>
    <w:rsid w:val="00C4244C"/>
    <w:rsid w:val="00C466F8"/>
    <w:rsid w:val="00C568CB"/>
    <w:rsid w:val="00C66F2F"/>
    <w:rsid w:val="00C737F4"/>
    <w:rsid w:val="00C938DF"/>
    <w:rsid w:val="00CA1CFC"/>
    <w:rsid w:val="00CA2FF4"/>
    <w:rsid w:val="00CB08C2"/>
    <w:rsid w:val="00CB20A2"/>
    <w:rsid w:val="00CC28AF"/>
    <w:rsid w:val="00CD06BD"/>
    <w:rsid w:val="00CD2DF4"/>
    <w:rsid w:val="00CD5277"/>
    <w:rsid w:val="00CE260D"/>
    <w:rsid w:val="00CE44A8"/>
    <w:rsid w:val="00CE476F"/>
    <w:rsid w:val="00D01244"/>
    <w:rsid w:val="00D03F25"/>
    <w:rsid w:val="00D10424"/>
    <w:rsid w:val="00D11EA5"/>
    <w:rsid w:val="00D13D08"/>
    <w:rsid w:val="00D222E1"/>
    <w:rsid w:val="00D23A2B"/>
    <w:rsid w:val="00D260F6"/>
    <w:rsid w:val="00D277B6"/>
    <w:rsid w:val="00D3059F"/>
    <w:rsid w:val="00D310FF"/>
    <w:rsid w:val="00D3434A"/>
    <w:rsid w:val="00D4502E"/>
    <w:rsid w:val="00D55C53"/>
    <w:rsid w:val="00D641DB"/>
    <w:rsid w:val="00D65B42"/>
    <w:rsid w:val="00D663B3"/>
    <w:rsid w:val="00D7003D"/>
    <w:rsid w:val="00D73816"/>
    <w:rsid w:val="00D76845"/>
    <w:rsid w:val="00D97C80"/>
    <w:rsid w:val="00DA43A1"/>
    <w:rsid w:val="00DB56F9"/>
    <w:rsid w:val="00DC6085"/>
    <w:rsid w:val="00DD0E10"/>
    <w:rsid w:val="00DD14E4"/>
    <w:rsid w:val="00DF20FC"/>
    <w:rsid w:val="00DF43F9"/>
    <w:rsid w:val="00E06079"/>
    <w:rsid w:val="00E21ED1"/>
    <w:rsid w:val="00E22D8C"/>
    <w:rsid w:val="00E36C09"/>
    <w:rsid w:val="00E41238"/>
    <w:rsid w:val="00E41984"/>
    <w:rsid w:val="00E44787"/>
    <w:rsid w:val="00E4750D"/>
    <w:rsid w:val="00E51966"/>
    <w:rsid w:val="00E51F1E"/>
    <w:rsid w:val="00E53852"/>
    <w:rsid w:val="00E56843"/>
    <w:rsid w:val="00E62C5E"/>
    <w:rsid w:val="00E73EDF"/>
    <w:rsid w:val="00E77542"/>
    <w:rsid w:val="00E94306"/>
    <w:rsid w:val="00EA7644"/>
    <w:rsid w:val="00EB061A"/>
    <w:rsid w:val="00EC083D"/>
    <w:rsid w:val="00EC11AF"/>
    <w:rsid w:val="00EC48CB"/>
    <w:rsid w:val="00ED0A43"/>
    <w:rsid w:val="00ED3D36"/>
    <w:rsid w:val="00EE1D3D"/>
    <w:rsid w:val="00EE5297"/>
    <w:rsid w:val="00EE7796"/>
    <w:rsid w:val="00EF440D"/>
    <w:rsid w:val="00F055ED"/>
    <w:rsid w:val="00F0675F"/>
    <w:rsid w:val="00F06F13"/>
    <w:rsid w:val="00F10767"/>
    <w:rsid w:val="00F24344"/>
    <w:rsid w:val="00F32014"/>
    <w:rsid w:val="00F325A8"/>
    <w:rsid w:val="00F35D1E"/>
    <w:rsid w:val="00F37F8B"/>
    <w:rsid w:val="00F41A23"/>
    <w:rsid w:val="00F56C3D"/>
    <w:rsid w:val="00F657CC"/>
    <w:rsid w:val="00F70E8C"/>
    <w:rsid w:val="00F7181F"/>
    <w:rsid w:val="00F731E3"/>
    <w:rsid w:val="00F776AA"/>
    <w:rsid w:val="00F8154A"/>
    <w:rsid w:val="00F81921"/>
    <w:rsid w:val="00FA1B1E"/>
    <w:rsid w:val="00FA1FDF"/>
    <w:rsid w:val="00FA4ECC"/>
    <w:rsid w:val="00FA7FA1"/>
    <w:rsid w:val="00FB3988"/>
    <w:rsid w:val="00FB5DCC"/>
    <w:rsid w:val="00FB73FE"/>
    <w:rsid w:val="00FC14F6"/>
    <w:rsid w:val="00FC1A85"/>
    <w:rsid w:val="00FC1F16"/>
    <w:rsid w:val="00FC7E6F"/>
    <w:rsid w:val="00FD7091"/>
    <w:rsid w:val="00FE0A65"/>
    <w:rsid w:val="00FE1557"/>
    <w:rsid w:val="00FF11F5"/>
    <w:rsid w:val="00FF5AD2"/>
    <w:rsid w:val="24A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widowControl/>
      <w:tabs>
        <w:tab w:val="left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left="480"/>
    </w:pPr>
    <w:rPr>
      <w:szCs w:val="20"/>
    </w:rPr>
  </w:style>
  <w:style w:type="paragraph" w:styleId="6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after="120"/>
      <w:ind w:left="283"/>
    </w:pPr>
  </w:style>
  <w:style w:type="paragraph" w:styleId="9">
    <w:name w:val="Plain Text"/>
    <w:basedOn w:val="1"/>
    <w:uiPriority w:val="0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10">
    <w:name w:val="Body Text Indent 2"/>
    <w:basedOn w:val="1"/>
    <w:uiPriority w:val="0"/>
    <w:pPr>
      <w:spacing w:after="120" w:line="480" w:lineRule="auto"/>
      <w:ind w:left="283"/>
    </w:pPr>
  </w:style>
  <w:style w:type="paragraph" w:styleId="11">
    <w:name w:val="Balloon Text"/>
    <w:basedOn w:val="1"/>
    <w:link w:val="5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4">
    <w:name w:val="Body Text Indent 3"/>
    <w:basedOn w:val="1"/>
    <w:qFormat/>
    <w:uiPriority w:val="0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15">
    <w:name w:val="Body Text 2"/>
    <w:basedOn w:val="1"/>
    <w:qFormat/>
    <w:uiPriority w:val="0"/>
    <w:pPr>
      <w:spacing w:after="120" w:line="480" w:lineRule="auto"/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</w:pPr>
    <w:rPr>
      <w:kern w:val="0"/>
    </w:rPr>
  </w:style>
  <w:style w:type="table" w:styleId="18">
    <w:name w:val="Table Grid"/>
    <w:basedOn w:val="17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Hyperlink"/>
    <w:uiPriority w:val="0"/>
    <w:rPr>
      <w:color w:val="0000FF"/>
      <w:u w:val="single"/>
    </w:rPr>
  </w:style>
  <w:style w:type="paragraph" w:customStyle="1" w:styleId="24">
    <w:name w:val="_Style 6"/>
    <w:basedOn w:val="1"/>
    <w:qFormat/>
    <w:uiPriority w:val="0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25">
    <w:name w:val="10pt"/>
    <w:uiPriority w:val="0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eastAsia="PMingLiU" w:cs="TimesNewRomanPS"/>
      <w:sz w:val="22"/>
      <w:szCs w:val="22"/>
      <w:lang w:val="en-US" w:eastAsia="zh-TW" w:bidi="ar-SA"/>
    </w:rPr>
  </w:style>
  <w:style w:type="paragraph" w:customStyle="1" w:styleId="26">
    <w:name w:val="∫ñ√D"/>
    <w:uiPriority w:val="0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eastAsia="PMingLiU" w:cs="TimesNewRomanPS Bold"/>
      <w:sz w:val="32"/>
      <w:szCs w:val="32"/>
      <w:lang w:val="en-US" w:eastAsia="zh-TW" w:bidi="ar-SA"/>
    </w:rPr>
  </w:style>
  <w:style w:type="paragraph" w:customStyle="1" w:styleId="27">
    <w:name w:val="8pt"/>
    <w:basedOn w:val="28"/>
    <w:uiPriority w:val="0"/>
    <w:pPr>
      <w:spacing w:line="160" w:lineRule="atLeast"/>
    </w:pPr>
    <w:rPr>
      <w:color w:val="auto"/>
    </w:rPr>
  </w:style>
  <w:style w:type="paragraph" w:customStyle="1" w:styleId="28">
    <w:name w:val="ß_ß¬"/>
    <w:uiPriority w:val="0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eastAsia="PMingLiU" w:cs="TimesNewRomanPS"/>
      <w:color w:val="000000"/>
      <w:sz w:val="22"/>
      <w:szCs w:val="22"/>
      <w:lang w:val="en-US" w:eastAsia="zh-TW" w:bidi="ar-SA"/>
    </w:rPr>
  </w:style>
  <w:style w:type="paragraph" w:customStyle="1" w:styleId="29">
    <w:name w:val="ô˛µ˘ß_ß¬"/>
    <w:basedOn w:val="28"/>
    <w:uiPriority w:val="0"/>
    <w:pPr>
      <w:jc w:val="left"/>
    </w:pPr>
    <w:rPr>
      <w:color w:val="auto"/>
      <w:sz w:val="20"/>
      <w:szCs w:val="20"/>
    </w:rPr>
  </w:style>
  <w:style w:type="paragraph" w:customStyle="1" w:styleId="30">
    <w:name w:val="_∆∫ñ√D"/>
    <w:basedOn w:val="28"/>
    <w:uiPriority w:val="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31">
    <w:name w:val="ïD∫ñ√D"/>
    <w:basedOn w:val="28"/>
    <w:uiPriority w:val="0"/>
    <w:pPr>
      <w:pBdr>
        <w:top w:val="single" w:color="auto" w:sz="2" w:space="0"/>
        <w:bottom w:val="single" w:color="auto" w:sz="2" w:space="0"/>
        <w:between w:val="single" w:color="auto" w:sz="2" w:space="0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</w:pPr>
    <w:rPr>
      <w:rFonts w:ascii="FMJJNB+Garamond" w:hAnsi="Times New Roman" w:eastAsia="FMJJNB+Garamond" w:cs="FMJJNB+Garamond"/>
      <w:color w:val="000000"/>
      <w:sz w:val="24"/>
      <w:szCs w:val="24"/>
      <w:lang w:val="en-US" w:eastAsia="zh-TW" w:bidi="ar-SA"/>
    </w:rPr>
  </w:style>
  <w:style w:type="paragraph" w:customStyle="1" w:styleId="33">
    <w:name w:val="Heading3"/>
    <w:basedOn w:val="1"/>
    <w:uiPriority w:val="0"/>
    <w:rPr>
      <w:b/>
      <w:sz w:val="28"/>
    </w:rPr>
  </w:style>
  <w:style w:type="paragraph" w:customStyle="1" w:styleId="34">
    <w:name w:val="Text 8.5/11"/>
    <w:uiPriority w:val="0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hAnsi="Times New Roman" w:eastAsia="宋＋45 Univers" w:cs="Times New Roman"/>
      <w:sz w:val="17"/>
      <w:szCs w:val="17"/>
      <w:lang w:val="en-US" w:eastAsia="zh-TW" w:bidi="ar-SA"/>
    </w:rPr>
  </w:style>
  <w:style w:type="paragraph" w:customStyle="1" w:styleId="35">
    <w:name w:val="Body Text 21"/>
    <w:basedOn w:val="1"/>
    <w:qFormat/>
    <w:uiPriority w:val="0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36">
    <w:name w:val="verd_black13b"/>
    <w:basedOn w:val="19"/>
    <w:qFormat/>
    <w:uiPriority w:val="0"/>
  </w:style>
  <w:style w:type="character" w:customStyle="1" w:styleId="37">
    <w:name w:val="verd_grey13b"/>
    <w:basedOn w:val="19"/>
    <w:qFormat/>
    <w:uiPriority w:val="0"/>
  </w:style>
  <w:style w:type="character" w:customStyle="1" w:styleId="38">
    <w:name w:val="verd_black12"/>
    <w:basedOn w:val="19"/>
    <w:uiPriority w:val="0"/>
  </w:style>
  <w:style w:type="paragraph" w:customStyle="1" w:styleId="39">
    <w:name w:val="字元 字元 字元 Char 字元 字元 Char Char 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eastAsia="en-US"/>
    </w:rPr>
  </w:style>
  <w:style w:type="paragraph" w:customStyle="1" w:styleId="40">
    <w:name w:val="Tab 1"/>
    <w:basedOn w:val="34"/>
    <w:qFormat/>
    <w:uiPriority w:val="0"/>
    <w:pPr>
      <w:tabs>
        <w:tab w:val="left" w:pos="561"/>
      </w:tabs>
      <w:ind w:left="566" w:right="0" w:hanging="566"/>
    </w:pPr>
    <w:rPr>
      <w:rFonts w:ascii="Univers 45 Light" w:hAnsi="Univers 45 Light" w:eastAsia="PMingLiU"/>
    </w:rPr>
  </w:style>
  <w:style w:type="paragraph" w:customStyle="1" w:styleId="41">
    <w:name w:val="Tab 2"/>
    <w:basedOn w:val="40"/>
    <w:uiPriority w:val="0"/>
    <w:pPr>
      <w:tabs>
        <w:tab w:val="left" w:pos="1020"/>
        <w:tab w:val="clear" w:pos="561"/>
      </w:tabs>
      <w:ind w:left="1020" w:hanging="454"/>
    </w:pPr>
  </w:style>
  <w:style w:type="paragraph" w:customStyle="1" w:styleId="42">
    <w:name w:val="Tab 3"/>
    <w:basedOn w:val="41"/>
    <w:qFormat/>
    <w:uiPriority w:val="0"/>
    <w:pPr>
      <w:tabs>
        <w:tab w:val="left" w:pos="1474"/>
        <w:tab w:val="clear" w:pos="1020"/>
      </w:tabs>
      <w:ind w:left="1474"/>
    </w:pPr>
  </w:style>
  <w:style w:type="paragraph" w:customStyle="1" w:styleId="43">
    <w:name w:val="字元 字元"/>
    <w:basedOn w:val="1"/>
    <w:uiPriority w:val="0"/>
    <w:pPr>
      <w:widowControl/>
      <w:spacing w:after="160" w:line="240" w:lineRule="exact"/>
    </w:pPr>
    <w:rPr>
      <w:rFonts w:ascii="Verdana" w:hAnsi="Verdana" w:eastAsia="Times New Roman"/>
      <w:kern w:val="0"/>
      <w:sz w:val="20"/>
      <w:szCs w:val="20"/>
      <w:lang w:val="zh-CN" w:eastAsia="en-US"/>
    </w:rPr>
  </w:style>
  <w:style w:type="paragraph" w:customStyle="1" w:styleId="44">
    <w:name w:val="List Alpha 1"/>
    <w:basedOn w:val="1"/>
    <w:next w:val="7"/>
    <w:qFormat/>
    <w:uiPriority w:val="0"/>
    <w:pPr>
      <w:widowControl/>
      <w:numPr>
        <w:ilvl w:val="0"/>
        <w:numId w:val="1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5">
    <w:name w:val="List Alpha 2"/>
    <w:basedOn w:val="1"/>
    <w:next w:val="15"/>
    <w:uiPriority w:val="0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6">
    <w:name w:val="List Alpha 3"/>
    <w:basedOn w:val="1"/>
    <w:next w:val="6"/>
    <w:uiPriority w:val="0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7">
    <w:name w:val="List Roman 1"/>
    <w:basedOn w:val="1"/>
    <w:next w:val="7"/>
    <w:qFormat/>
    <w:uiPriority w:val="0"/>
    <w:pPr>
      <w:widowControl/>
      <w:numPr>
        <w:ilvl w:val="0"/>
        <w:numId w:val="2"/>
      </w:numPr>
      <w:tabs>
        <w:tab w:val="left" w:pos="22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8">
    <w:name w:val="List Roman 2"/>
    <w:basedOn w:val="1"/>
    <w:next w:val="15"/>
    <w:qFormat/>
    <w:uiPriority w:val="0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paragraph" w:customStyle="1" w:styleId="49">
    <w:name w:val="List Roman 3"/>
    <w:basedOn w:val="1"/>
    <w:next w:val="6"/>
    <w:qFormat/>
    <w:uiPriority w:val="0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hAnsi="CG Times" w:eastAsia="MS Mincho"/>
      <w:kern w:val="0"/>
      <w:sz w:val="22"/>
      <w:szCs w:val="20"/>
      <w:lang w:val="en-GB" w:eastAsia="en-US"/>
    </w:rPr>
  </w:style>
  <w:style w:type="character" w:customStyle="1" w:styleId="50">
    <w:name w:val="註解方塊文字 字元"/>
    <w:basedOn w:val="19"/>
    <w:link w:val="11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HKEx</Company>
  <Pages>10</Pages>
  <Words>1506</Words>
  <Characters>8590</Characters>
  <Lines>71</Lines>
  <Paragraphs>20</Paragraphs>
  <TotalTime>1</TotalTime>
  <ScaleCrop>false</ScaleCrop>
  <LinksUpToDate>false</LinksUpToDate>
  <CharactersWithSpaces>10076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2020-10-05T08:33:00Z</dcterms:created>
  <dc:creator>AgnesHo</dc:creator>
  <cp:lastModifiedBy>。玉琴</cp:lastModifiedBy>
  <cp:lastPrinted>2020-09-02T03:04:00Z</cp:lastPrinted>
  <dcterms:modified xsi:type="dcterms:W3CDTF">2020-11-03T08:36:12Z</dcterms:modified>
  <dc:title>APPENDIX 8A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1552029096</vt:i4>
  </property>
  <property fmtid="{D5CDD505-2E9C-101B-9397-08002B2CF9AE}" pid="3" name="_EmailSubject">
    <vt:lpwstr>Issue 8 - Forms</vt:lpwstr>
  </property>
  <property fmtid="{D5CDD505-2E9C-101B-9397-08002B2CF9AE}" pid="4" name="_AuthorEmail">
    <vt:lpwstr>VeraChau@hkex.com.hk</vt:lpwstr>
  </property>
  <property fmtid="{D5CDD505-2E9C-101B-9397-08002B2CF9AE}" pid="5" name="_AuthorEmailDisplayName">
    <vt:lpwstr>Vera Chau</vt:lpwstr>
  </property>
  <property fmtid="{D5CDD505-2E9C-101B-9397-08002B2CF9AE}" pid="6" name="_PreviousAdHocReviewCycleID">
    <vt:i4>779481378</vt:i4>
  </property>
  <property fmtid="{D5CDD505-2E9C-101B-9397-08002B2CF9AE}" pid="7" name="_ReviewingToolsShownOnce">
    <vt:lpwstr/>
  </property>
  <property fmtid="{D5CDD505-2E9C-101B-9397-08002B2CF9AE}" pid="8" name="KSOProductBuildVer">
    <vt:lpwstr>2052-11.1.0.9999</vt:lpwstr>
  </property>
</Properties>
</file>